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Default="00734BFE">
      <w:pPr>
        <w:pStyle w:val="Heading4"/>
        <w:rPr>
          <w:sz w:val="22"/>
          <w:szCs w:val="22"/>
          <w:highlight w:val="yellow"/>
        </w:rPr>
      </w:pPr>
      <w:r>
        <w:rPr>
          <w:sz w:val="22"/>
          <w:szCs w:val="22"/>
          <w:highlight w:val="yellow"/>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bl>
    <w:p w14:paraId="20722755" w14:textId="77777777" w:rsidR="001315D3" w:rsidRDefault="001315D3">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lastRenderedPageBreak/>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w:t>
            </w:r>
            <w:r>
              <w:rPr>
                <w:lang w:eastAsia="zh-CN"/>
              </w:rPr>
              <w:lastRenderedPageBreak/>
              <w:t xml:space="preserve">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lastRenderedPageBreak/>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lastRenderedPageBreak/>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The monitoring occasion group delineation question is important to clarify for Alt-2 because it affects the range of possible PDCCH </w:t>
            </w:r>
            <w:r>
              <w:rPr>
                <w:rFonts w:ascii="Arial" w:eastAsia="Calibri" w:hAnsi="Arial" w:cs="Arial"/>
                <w:sz w:val="20"/>
                <w:lang w:eastAsia="zh-CN"/>
              </w:rPr>
              <w:lastRenderedPageBreak/>
              <w:t>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lastRenderedPageBreak/>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lastRenderedPageBreak/>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Default="001315D3"/>
    <w:p w14:paraId="2072282A" w14:textId="77777777" w:rsidR="001315D3" w:rsidRDefault="00734BFE">
      <w:r>
        <w:rPr>
          <w:highlight w:val="yellow"/>
        </w:rPr>
        <w:t>FL Proposal:</w:t>
      </w:r>
    </w:p>
    <w:p w14:paraId="2072282B" w14:textId="77777777" w:rsidR="001315D3" w:rsidRDefault="00734BFE">
      <w:pPr>
        <w:rPr>
          <w:lang w:val="en-GB" w:eastAsia="zh-CN"/>
        </w:rPr>
      </w:pPr>
      <w:r>
        <w:rPr>
          <w:lang w:val="en-GB" w:eastAsia="zh-CN"/>
        </w:rPr>
        <w:t>For reporting the multi-slot PDCCH monitoring capability, at least the following values are supported:</w:t>
      </w:r>
    </w:p>
    <w:p w14:paraId="2072282C" w14:textId="77777777" w:rsidR="001315D3" w:rsidRDefault="00734BFE">
      <w:pPr>
        <w:pStyle w:val="ListParagraph"/>
        <w:numPr>
          <w:ilvl w:val="0"/>
          <w:numId w:val="19"/>
        </w:numPr>
        <w:rPr>
          <w:lang w:val="en-GB" w:eastAsia="zh-CN"/>
        </w:rPr>
      </w:pPr>
      <w:r>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Default="00734BFE">
      <w:pPr>
        <w:pStyle w:val="Heading4"/>
        <w:rPr>
          <w:sz w:val="22"/>
          <w:szCs w:val="22"/>
          <w:highlight w:val="yellow"/>
        </w:rPr>
      </w:pPr>
      <w:r>
        <w:rPr>
          <w:sz w:val="22"/>
          <w:szCs w:val="22"/>
          <w:highlight w:val="yellow"/>
        </w:rPr>
        <w:lastRenderedPageBreak/>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lastRenderedPageBreak/>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lastRenderedPageBreak/>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bl>
    <w:p w14:paraId="20722846" w14:textId="77777777" w:rsidR="001315D3" w:rsidRDefault="001315D3">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lastRenderedPageBreak/>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Pr>
          <w:b/>
          <w:bCs/>
          <w:highlight w:val="cyan"/>
        </w:rPr>
        <w:t>FL Summary (Round 1):</w:t>
      </w:r>
      <w:r>
        <w:rPr>
          <w:b/>
          <w:bCs/>
        </w:rPr>
        <w:t xml:space="preserve"> Most companies prefer to have Y&lt;=X, with some views expressing concerns for UE power consumption. A corresponding proposal has been incorporated in the proposal for A1-2.</w:t>
      </w:r>
    </w:p>
    <w:p w14:paraId="20722897" w14:textId="77777777" w:rsidR="001315D3" w:rsidRDefault="00734BFE">
      <w:pPr>
        <w:pStyle w:val="Heading4"/>
        <w:rPr>
          <w:sz w:val="22"/>
          <w:szCs w:val="22"/>
          <w:highlight w:val="yellow"/>
        </w:rPr>
      </w:pPr>
      <w:bookmarkStart w:id="2" w:name="_GoBack"/>
      <w:bookmarkEnd w:id="2"/>
      <w:r>
        <w:rPr>
          <w:sz w:val="22"/>
          <w:szCs w:val="22"/>
          <w:highlight w:val="yellow"/>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lastRenderedPageBreak/>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lastRenderedPageBreak/>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w:t>
            </w:r>
            <w:r w:rsidRPr="0092197C">
              <w:rPr>
                <w:rFonts w:ascii="Times New Roman" w:hAnsi="Times New Roman"/>
                <w:lang w:eastAsia="zh-CN"/>
              </w:rPr>
              <w:lastRenderedPageBreak/>
              <w:t xml:space="preserve">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bl>
    <w:p w14:paraId="207228A8" w14:textId="77777777" w:rsidR="001315D3" w:rsidRDefault="001315D3">
      <w:pPr>
        <w:rPr>
          <w:lang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lastRenderedPageBreak/>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lastRenderedPageBreak/>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Default="00734BFE">
      <w:pPr>
        <w:rPr>
          <w:b/>
          <w:bCs/>
          <w:lang w:val="en-GB" w:eastAsia="zh-CN"/>
        </w:rPr>
      </w:pPr>
      <w:r>
        <w:rPr>
          <w:b/>
          <w:bCs/>
          <w:highlight w:val="cyan"/>
          <w:lang w:val="en-GB" w:eastAsia="zh-CN"/>
        </w:rPr>
        <w:lastRenderedPageBreak/>
        <w:t xml:space="preserve">FL Suggestion: </w:t>
      </w:r>
      <w:r>
        <w:rPr>
          <w:b/>
          <w:bCs/>
          <w:lang w:val="en-GB" w:eastAsia="zh-CN"/>
        </w:rPr>
        <w:t>Continue discussion in 2</w:t>
      </w:r>
      <w:r>
        <w:rPr>
          <w:b/>
          <w:bCs/>
          <w:vertAlign w:val="superscript"/>
          <w:lang w:val="en-GB" w:eastAsia="zh-CN"/>
        </w:rPr>
        <w:t>nd</w:t>
      </w:r>
      <w:r>
        <w:rPr>
          <w:b/>
          <w:bCs/>
          <w:lang w:val="en-GB" w:eastAsia="zh-CN"/>
        </w:rPr>
        <w:t xml:space="preserve"> round with above clarification</w:t>
      </w:r>
    </w:p>
    <w:p w14:paraId="20722900" w14:textId="77777777" w:rsidR="001315D3" w:rsidRDefault="00734BFE">
      <w:pPr>
        <w:pStyle w:val="Heading4"/>
        <w:rPr>
          <w:sz w:val="22"/>
          <w:szCs w:val="22"/>
          <w:highlight w:val="yellow"/>
        </w:rPr>
      </w:pPr>
      <w:r>
        <w:rPr>
          <w:sz w:val="22"/>
          <w:szCs w:val="22"/>
          <w:highlight w:val="yellow"/>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bl>
    <w:p w14:paraId="2072290F" w14:textId="77777777" w:rsidR="001315D3" w:rsidRDefault="001315D3">
      <w:pPr>
        <w:rPr>
          <w:lang w:val="en-GB" w:eastAsia="zh-CN"/>
        </w:rPr>
      </w:pPr>
    </w:p>
    <w:p w14:paraId="20722910" w14:textId="77777777" w:rsidR="001315D3" w:rsidRDefault="00734BFE">
      <w:pPr>
        <w:pStyle w:val="Heading2"/>
      </w:pPr>
      <w:r>
        <w:lastRenderedPageBreak/>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lastRenderedPageBreak/>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lastRenderedPageBreak/>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lastRenderedPageBreak/>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lastRenderedPageBreak/>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lastRenderedPageBreak/>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lastRenderedPageBreak/>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lastRenderedPageBreak/>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lastRenderedPageBreak/>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lastRenderedPageBreak/>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lastRenderedPageBreak/>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lastRenderedPageBreak/>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lastRenderedPageBreak/>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lastRenderedPageBreak/>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3" w:name="_Ref77150685"/>
            <w:r>
              <w:t xml:space="preserve">Figure </w:t>
            </w:r>
            <w:fldSimple w:instr=" SEQ Figure \* ARABIC ">
              <w:r>
                <w:t>1</w:t>
              </w:r>
            </w:fldSimple>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lastRenderedPageBreak/>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4" w:name="_Ref68012702"/>
            <w:r>
              <w:t xml:space="preserve">Figure </w:t>
            </w:r>
            <w:fldSimple w:instr=" SEQ Figure \* ARABIC ">
              <w:r>
                <w:t>2</w:t>
              </w:r>
            </w:fldSimple>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5" w:name="_Ref77164459"/>
            <w:r>
              <w:t xml:space="preserve">Figure </w:t>
            </w:r>
            <w:fldSimple w:instr=" SEQ Figure \* ARABIC ">
              <w:r>
                <w:t>3</w:t>
              </w:r>
            </w:fldSimple>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lastRenderedPageBreak/>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6" w:name="_Ref78225843"/>
            <w:r>
              <w:t xml:space="preserve">Figure </w:t>
            </w:r>
            <w:fldSimple w:instr=" SEQ Figure \* ARABIC ">
              <w:r>
                <w:t>4</w:t>
              </w:r>
            </w:fldSimple>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7" w:name="_Ref67392773"/>
            <w:r>
              <w:t xml:space="preserve">Table </w:t>
            </w:r>
            <w:fldSimple w:instr=" SEQ Table \* ARABIC ">
              <w:r>
                <w:t>1</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8" w:name="_Ref67392778"/>
            <w:r>
              <w:t xml:space="preserve">Table </w:t>
            </w:r>
            <w:fldSimple w:instr=" SEQ Table \* ARABIC ">
              <w:r>
                <w:t>2</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9" w:name="_Ref78227753"/>
            <w:r>
              <w:t xml:space="preserve">Table </w:t>
            </w:r>
            <w:fldSimple w:instr=" SEQ Table \* ARABIC ">
              <w:r>
                <w:t>3</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10" w:name="_Ref78227760"/>
            <w:r>
              <w:t xml:space="preserve">Table </w:t>
            </w:r>
            <w:fldSimple w:instr=" SEQ Table \* ARABIC ">
              <w:r>
                <w:t>4</w:t>
              </w:r>
            </w:fldSimple>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lastRenderedPageBreak/>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3" w:name="_Ref78814205"/>
            <w:r>
              <w:lastRenderedPageBreak/>
              <w:t xml:space="preserve">Proposal </w:t>
            </w:r>
            <w:fldSimple w:instr=" SEQ Proposal \* ARABIC ">
              <w:r>
                <w:t>4</w:t>
              </w:r>
            </w:fldSimple>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4" w:name="_Ref78903382"/>
            <w:r>
              <w:t xml:space="preserve">Proposal </w:t>
            </w:r>
            <w:fldSimple w:instr=" SEQ Proposal \* ARABIC ">
              <w:r>
                <w:t>5</w:t>
              </w:r>
            </w:fldSimple>
            <w:r>
              <w:t>: Reporting support of 480K/960K in UE capability implies support of multi-slot-based capability at UE side.</w:t>
            </w:r>
            <w:bookmarkEnd w:id="1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lastRenderedPageBreak/>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35pt;height:84pt;mso-width-percent:0;mso-height-percent:0;mso-width-percent:0;mso-height-percent:0" o:ole="">
                  <v:imagedata r:id="rId19" o:title=""/>
                </v:shape>
                <o:OLEObject Type="Embed" ProgID="Visio.Drawing.11" ShapeID="_x0000_i1025" DrawAspect="Content" ObjectID="_1690961846" r:id="rId20"/>
              </w:object>
            </w:r>
          </w:p>
          <w:p w14:paraId="20722C9D" w14:textId="77777777" w:rsidR="001315D3" w:rsidRDefault="00734BFE">
            <w:pPr>
              <w:pStyle w:val="Caption"/>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4.65pt;height:44.65pt;mso-width-percent:0;mso-height-percent:0;mso-width-percent:0;mso-height-percent:0" o:ole="">
                  <v:imagedata r:id="rId21" o:title=""/>
                </v:shape>
                <o:OLEObject Type="Embed" ProgID="Visio.Drawing.11" ShapeID="_x0000_i1026" DrawAspect="Content" ObjectID="_1690961847" r:id="rId22"/>
              </w:object>
            </w:r>
          </w:p>
          <w:p w14:paraId="20722CA5" w14:textId="77777777" w:rsidR="001315D3" w:rsidRDefault="00734BFE">
            <w:pPr>
              <w:pStyle w:val="Caption"/>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3.35pt;height:104pt;mso-width-percent:0;mso-height-percent:0;mso-width-percent:0;mso-height-percent:0" o:ole="">
                  <v:imagedata r:id="rId23" o:title=""/>
                </v:shape>
                <o:OLEObject Type="Embed" ProgID="Visio.Drawing.11" ShapeID="_x0000_i1027" DrawAspect="Content" ObjectID="_1690961848" r:id="rId24"/>
              </w:object>
            </w:r>
          </w:p>
          <w:p w14:paraId="20722CAB" w14:textId="77777777" w:rsidR="001315D3" w:rsidRDefault="00734BFE">
            <w:pPr>
              <w:pStyle w:val="Caption"/>
              <w:rPr>
                <w:lang w:eastAsia="zh-CN"/>
              </w:rPr>
            </w:pPr>
            <w:bookmarkStart w:id="19" w:name="_Ref67870726"/>
            <w:r>
              <w:t xml:space="preserve">Figure </w:t>
            </w:r>
            <w:fldSimple w:instr=" SEQ Figure \* ARABIC ">
              <w:r>
                <w:t>3</w:t>
              </w:r>
            </w:fldSimple>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BodyText"/>
            </w:pPr>
          </w:p>
          <w:p w14:paraId="20722CCB" w14:textId="77777777" w:rsidR="001315D3" w:rsidRDefault="00734BFE">
            <w:pPr>
              <w:pStyle w:val="BodyText"/>
            </w:pPr>
            <w:r>
              <w:t xml:space="preserve">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20722CD9" w14:textId="77777777" w:rsidR="001315D3" w:rsidRDefault="00734BFE">
            <w:pPr>
              <w:pStyle w:val="Observation"/>
            </w:pPr>
            <w:bookmarkStart w:id="40" w:name="_Toc68610475"/>
            <w:bookmarkStart w:id="41"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lastRenderedPageBreak/>
              <w:t>480 kHz SCS with bundle size of B=4</w:t>
            </w:r>
          </w:p>
          <w:p w14:paraId="20722CDC" w14:textId="77777777" w:rsidR="001315D3" w:rsidRDefault="009219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9219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9219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92197C">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opportunites for UE/gNB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lastRenderedPageBreak/>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lastRenderedPageBreak/>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8"/>
            <w:r>
              <w:rPr>
                <w:rFonts w:eastAsia="MS Mincho"/>
                <w:b/>
                <w:bCs/>
                <w:lang w:eastAsia="ja-JP"/>
              </w:rPr>
              <w:t>: For 480 kHz and 960 kHz SCSs, multi-slot PDCCH monitoring is the default capability, and assumed during the idle/inactive mode 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MS Mincho"/>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 xml:space="preserve">For further details of Alt 2, the first up to 3 symbols within a slot can be used for MOs, at least for UE-specific search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w:t>
            </w:r>
            <w:r>
              <w:rPr>
                <w:rFonts w:eastAsia="Batang"/>
                <w:bCs/>
                <w:lang w:eastAsia="ko-KR"/>
              </w:rPr>
              <w:lastRenderedPageBreak/>
              <w:t>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lastRenderedPageBreak/>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lastRenderedPageBreak/>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lastRenderedPageBreak/>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 xml:space="preserve">Based on the discussion above, the requirements for multi-slot PDCCH monitoring capability can be fulfilled by all of Alt.1/2/3, and we should focus on the </w:t>
            </w:r>
            <w:r>
              <w:rPr>
                <w:szCs w:val="18"/>
              </w:rPr>
              <w:lastRenderedPageBreak/>
              <w:t>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2.65pt;height:108pt;mso-width-percent:0;mso-height-percent:0;mso-width-percent:0;mso-height-percent:0" o:ole="">
                  <v:imagedata r:id="rId28" o:title=""/>
                </v:shape>
                <o:OLEObject Type="Embed" ProgID="Visio.Drawing.15" ShapeID="_x0000_i1028" DrawAspect="Content" ObjectID="_1690961849" r:id="rId29"/>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lastRenderedPageBreak/>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Default="00734BFE">
            <w:pPr>
              <w:pStyle w:val="PL"/>
              <w:rPr>
                <w:lang w:val="de-DE"/>
              </w:rPr>
            </w:pPr>
            <w:r>
              <w:t xml:space="preserve">        </w:t>
            </w:r>
            <w:r>
              <w:rPr>
                <w:lang w:val="de-DE"/>
              </w:rPr>
              <w:t xml:space="preserve">sl1                                     </w:t>
            </w:r>
            <w:r>
              <w:rPr>
                <w:color w:val="993366"/>
                <w:lang w:val="de-DE"/>
              </w:rPr>
              <w:t>NULL</w:t>
            </w:r>
            <w:r>
              <w:rPr>
                <w:lang w:val="de-DE"/>
              </w:rPr>
              <w:t>,</w:t>
            </w:r>
          </w:p>
          <w:p w14:paraId="20722EC4" w14:textId="77777777" w:rsidR="001315D3" w:rsidRDefault="00734BFE">
            <w:pPr>
              <w:pStyle w:val="PL"/>
              <w:rPr>
                <w:lang w:val="de-DE"/>
              </w:rPr>
            </w:pPr>
            <w:r>
              <w:rPr>
                <w:lang w:val="de-DE"/>
              </w:rPr>
              <w:t xml:space="preserve">        sl2                                     </w:t>
            </w:r>
            <w:r>
              <w:rPr>
                <w:color w:val="993366"/>
                <w:lang w:val="de-DE"/>
              </w:rPr>
              <w:t>INTEGER</w:t>
            </w:r>
            <w:r>
              <w:rPr>
                <w:lang w:val="de-DE"/>
              </w:rPr>
              <w:t xml:space="preserve"> (0..1),</w:t>
            </w:r>
          </w:p>
          <w:p w14:paraId="20722EC5" w14:textId="77777777" w:rsidR="001315D3" w:rsidRDefault="00734BFE">
            <w:pPr>
              <w:pStyle w:val="PL"/>
              <w:rPr>
                <w:lang w:val="de-DE"/>
              </w:rPr>
            </w:pPr>
            <w:r>
              <w:rPr>
                <w:lang w:val="de-DE"/>
              </w:rPr>
              <w:t xml:space="preserve">        sl4                                     </w:t>
            </w:r>
            <w:r>
              <w:rPr>
                <w:color w:val="993366"/>
                <w:lang w:val="de-DE"/>
              </w:rPr>
              <w:t>INTEGER</w:t>
            </w:r>
            <w:r>
              <w:rPr>
                <w:lang w:val="de-DE"/>
              </w:rPr>
              <w:t xml:space="preserve"> (0..3),</w:t>
            </w:r>
          </w:p>
          <w:p w14:paraId="20722EC6" w14:textId="77777777" w:rsidR="001315D3" w:rsidRDefault="00734BFE">
            <w:pPr>
              <w:pStyle w:val="PL"/>
              <w:rPr>
                <w:lang w:val="de-DE"/>
              </w:rPr>
            </w:pPr>
            <w:r>
              <w:rPr>
                <w:lang w:val="de-DE"/>
              </w:rPr>
              <w:t xml:space="preserve">        sl5                                     </w:t>
            </w:r>
            <w:r>
              <w:rPr>
                <w:color w:val="993366"/>
                <w:lang w:val="de-DE"/>
              </w:rPr>
              <w:t>INTEGER</w:t>
            </w:r>
            <w:r>
              <w:rPr>
                <w:lang w:val="de-DE"/>
              </w:rPr>
              <w:t xml:space="preserve"> (0..4),</w:t>
            </w:r>
          </w:p>
          <w:p w14:paraId="20722EC7" w14:textId="77777777" w:rsidR="001315D3" w:rsidRDefault="00734BFE">
            <w:pPr>
              <w:pStyle w:val="PL"/>
              <w:rPr>
                <w:lang w:val="de-DE"/>
              </w:rPr>
            </w:pPr>
            <w:r>
              <w:rPr>
                <w:lang w:val="de-DE"/>
              </w:rPr>
              <w:t xml:space="preserve">        sl8                                     </w:t>
            </w:r>
            <w:r>
              <w:rPr>
                <w:color w:val="993366"/>
                <w:lang w:val="de-DE"/>
              </w:rPr>
              <w:t>INTEGER</w:t>
            </w:r>
            <w:r>
              <w:rPr>
                <w:lang w:val="de-DE"/>
              </w:rPr>
              <w:t xml:space="preserve"> (0..7),</w:t>
            </w:r>
          </w:p>
          <w:p w14:paraId="20722EC8" w14:textId="77777777" w:rsidR="001315D3" w:rsidRDefault="00734BFE">
            <w:pPr>
              <w:pStyle w:val="PL"/>
              <w:rPr>
                <w:lang w:val="de-DE"/>
              </w:rPr>
            </w:pPr>
            <w:r>
              <w:rPr>
                <w:lang w:val="de-DE"/>
              </w:rPr>
              <w:t xml:space="preserve">        sl10                                    </w:t>
            </w:r>
            <w:r>
              <w:rPr>
                <w:color w:val="993366"/>
                <w:lang w:val="de-DE"/>
              </w:rPr>
              <w:t>INTEGER</w:t>
            </w:r>
            <w:r>
              <w:rPr>
                <w:lang w:val="de-DE"/>
              </w:rPr>
              <w:t xml:space="preserve"> (0..9),</w:t>
            </w:r>
          </w:p>
          <w:p w14:paraId="20722EC9" w14:textId="77777777" w:rsidR="001315D3" w:rsidRDefault="00734BFE">
            <w:pPr>
              <w:pStyle w:val="PL"/>
              <w:rPr>
                <w:lang w:val="de-DE"/>
              </w:rPr>
            </w:pPr>
            <w:r>
              <w:rPr>
                <w:lang w:val="de-DE"/>
              </w:rPr>
              <w:t xml:space="preserve">        sl16                                    </w:t>
            </w:r>
            <w:r>
              <w:rPr>
                <w:color w:val="993366"/>
                <w:lang w:val="de-DE"/>
              </w:rPr>
              <w:t>INTEGER</w:t>
            </w:r>
            <w:r>
              <w:rPr>
                <w:lang w:val="de-DE"/>
              </w:rPr>
              <w:t xml:space="preserve"> (0..15),</w:t>
            </w:r>
          </w:p>
          <w:p w14:paraId="20722ECA" w14:textId="77777777" w:rsidR="001315D3" w:rsidRDefault="00734BFE">
            <w:pPr>
              <w:pStyle w:val="PL"/>
              <w:rPr>
                <w:lang w:val="de-DE"/>
              </w:rPr>
            </w:pPr>
            <w:r>
              <w:rPr>
                <w:lang w:val="de-DE"/>
              </w:rPr>
              <w:t xml:space="preserve">        sl20                                    </w:t>
            </w:r>
            <w:r>
              <w:rPr>
                <w:color w:val="993366"/>
                <w:lang w:val="de-DE"/>
              </w:rPr>
              <w:t>INTEGER</w:t>
            </w:r>
            <w:r>
              <w:rPr>
                <w:lang w:val="de-DE"/>
              </w:rPr>
              <w:t xml:space="preserve"> (0..19),</w:t>
            </w:r>
          </w:p>
          <w:p w14:paraId="20722ECB" w14:textId="77777777" w:rsidR="001315D3" w:rsidRDefault="00734BFE">
            <w:pPr>
              <w:pStyle w:val="PL"/>
              <w:rPr>
                <w:lang w:val="de-DE"/>
              </w:rPr>
            </w:pPr>
            <w:r>
              <w:rPr>
                <w:lang w:val="de-DE"/>
              </w:rPr>
              <w:t xml:space="preserve">        sl40                                    </w:t>
            </w:r>
            <w:r>
              <w:rPr>
                <w:color w:val="993366"/>
                <w:lang w:val="de-DE"/>
              </w:rPr>
              <w:t>INTEGER</w:t>
            </w:r>
            <w:r>
              <w:rPr>
                <w:lang w:val="de-DE"/>
              </w:rPr>
              <w:t xml:space="preserve"> (0..39),</w:t>
            </w:r>
          </w:p>
          <w:p w14:paraId="20722ECC" w14:textId="77777777" w:rsidR="001315D3" w:rsidRDefault="00734BFE">
            <w:pPr>
              <w:pStyle w:val="PL"/>
              <w:rPr>
                <w:lang w:val="de-DE"/>
              </w:rPr>
            </w:pPr>
            <w:r>
              <w:rPr>
                <w:lang w:val="de-DE"/>
              </w:rPr>
              <w:t xml:space="preserve">        sl80                                    </w:t>
            </w:r>
            <w:r>
              <w:rPr>
                <w:color w:val="993366"/>
                <w:lang w:val="de-DE"/>
              </w:rPr>
              <w:t>INTEGER</w:t>
            </w:r>
            <w:r>
              <w:rPr>
                <w:lang w:val="de-DE"/>
              </w:rPr>
              <w:t xml:space="preserve"> (0..79),</w:t>
            </w:r>
          </w:p>
          <w:p w14:paraId="20722ECD" w14:textId="77777777" w:rsidR="001315D3" w:rsidRDefault="00734BFE">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Default="00734BFE">
            <w:pPr>
              <w:pStyle w:val="PL"/>
              <w:rPr>
                <w:lang w:val="de-DE"/>
              </w:rPr>
            </w:pPr>
            <w:r>
              <w:rPr>
                <w:lang w:val="nl-NL"/>
              </w:rPr>
              <w:t xml:space="preserve">        </w:t>
            </w:r>
            <w:r>
              <w:rPr>
                <w:lang w:val="de-DE"/>
              </w:rPr>
              <w:t xml:space="preserve">sl1280                                  </w:t>
            </w:r>
            <w:r>
              <w:rPr>
                <w:color w:val="993366"/>
                <w:lang w:val="de-DE"/>
              </w:rPr>
              <w:t>INTEGER</w:t>
            </w:r>
            <w:r>
              <w:rPr>
                <w:lang w:val="de-DE"/>
              </w:rPr>
              <w:t xml:space="preserve"> (0..1279),</w:t>
            </w:r>
          </w:p>
          <w:p w14:paraId="20722ED1" w14:textId="77777777" w:rsidR="001315D3" w:rsidRDefault="00734BFE">
            <w:pPr>
              <w:pStyle w:val="PL"/>
              <w:rPr>
                <w:lang w:val="de-DE"/>
              </w:rPr>
            </w:pPr>
            <w:r>
              <w:rPr>
                <w:lang w:val="de-DE"/>
              </w:rPr>
              <w:t xml:space="preserve">        sl2560                                  </w:t>
            </w:r>
            <w:r>
              <w:rPr>
                <w:color w:val="993366"/>
                <w:lang w:val="de-DE"/>
              </w:rPr>
              <w:t>INTEGER</w:t>
            </w:r>
            <w:r>
              <w:rPr>
                <w:lang w:val="de-D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0"/>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6" w:name="_Ref68018795"/>
            <w:r>
              <w:t xml:space="preserve">Figure </w:t>
            </w:r>
            <w:fldSimple w:instr=" SEQ Figure \* ARABIC ">
              <w:r>
                <w:t>5</w:t>
              </w:r>
            </w:fldSimple>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lastRenderedPageBreak/>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1"/>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zh-CN"/>
              </w:rPr>
              <w:lastRenderedPageBreak/>
              <w:t xml:space="preserve">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2.65pt;height:2in;mso-width-percent:0;mso-height-percent:0;mso-width-percent:0;mso-height-percent:0" o:ole="">
                  <v:imagedata r:id="rId32" o:title=""/>
                </v:shape>
                <o:OLEObject Type="Embed" ProgID="Visio.Drawing.15" ShapeID="_x0000_i1029" DrawAspect="Content" ObjectID="_1690961850" r:id="rId33"/>
              </w:object>
            </w:r>
          </w:p>
          <w:p w14:paraId="20722F15" w14:textId="77777777" w:rsidR="001315D3" w:rsidRDefault="00734BFE">
            <w:pPr>
              <w:jc w:val="center"/>
              <w:rPr>
                <w:b/>
              </w:rPr>
            </w:pPr>
            <w:r>
              <w:rPr>
                <w:b/>
              </w:rPr>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lastRenderedPageBreak/>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 xml:space="preserve">single slot PDCCH capability and multi-slot PDCCH capability 480 kHz </w:t>
            </w:r>
            <w:r>
              <w:rPr>
                <w:rFonts w:hint="eastAsia"/>
                <w:b/>
                <w:lang w:eastAsia="zh-CN"/>
              </w:rPr>
              <w:lastRenderedPageBreak/>
              <w:t>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4"/>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65pt;height:200.65pt;mso-width-percent:0;mso-height-percent:0;mso-width-percent:0;mso-height-percent:0" o:ole="">
                  <v:imagedata r:id="rId35" o:title=""/>
                </v:shape>
                <o:OLEObject Type="Embed" ProgID="Visio.Drawing.15" ShapeID="_x0000_i1030" DrawAspect="Content" ObjectID="_1690961851" r:id="rId36"/>
              </w:object>
            </w:r>
          </w:p>
          <w:p w14:paraId="20722F51" w14:textId="77777777" w:rsidR="001315D3" w:rsidRDefault="00734BFE">
            <w:pPr>
              <w:pStyle w:val="Caption"/>
            </w:pPr>
            <w:bookmarkStart w:id="231" w:name="_Ref68206910"/>
            <w:r>
              <w:t xml:space="preserve">Figure </w:t>
            </w:r>
            <w:fldSimple w:instr=" SEQ Figure \* ARABIC ">
              <w:r>
                <w:t>1</w:t>
              </w:r>
            </w:fldSimple>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lastRenderedPageBreak/>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9.35pt;height:62pt;mso-width-percent:0;mso-height-percent:0;mso-width-percent:0;mso-height-percent:0" o:ole="">
                  <v:imagedata r:id="rId37" o:title=""/>
                </v:shape>
                <o:OLEObject Type="Embed" ProgID="Visio.Drawing.15" ShapeID="_x0000_i1031" DrawAspect="Content" ObjectID="_1690961852" r:id="rId38"/>
              </w:object>
            </w:r>
          </w:p>
          <w:p w14:paraId="20722F63" w14:textId="77777777" w:rsidR="001315D3" w:rsidRDefault="00734BFE">
            <w:pPr>
              <w:pStyle w:val="Caption"/>
            </w:pPr>
            <w:bookmarkStart w:id="253" w:name="_Ref68252811"/>
            <w:r>
              <w:t xml:space="preserve">Figure </w:t>
            </w:r>
            <w:fldSimple w:instr=" SEQ Figure \* ARABIC ">
              <w:r>
                <w:t>2</w:t>
              </w:r>
            </w:fldSimple>
            <w:bookmarkEnd w:id="253"/>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1.35pt;height:98.65pt;mso-width-percent:0;mso-height-percent:0;mso-width-percent:0;mso-height-percent:0" o:ole="">
                  <v:imagedata r:id="rId39" o:title=""/>
                </v:shape>
                <o:OLEObject Type="Embed" ProgID="Visio.Drawing.15" ShapeID="_x0000_i1032" DrawAspect="Content" ObjectID="_1690961853" r:id="rId40"/>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lastRenderedPageBreak/>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w:t>
            </w:r>
            <w:r>
              <w:lastRenderedPageBreak/>
              <w:t xml:space="preserve">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1"/>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4" w:name="_Ref68624864"/>
            <w:r>
              <w:t xml:space="preserve">Figure </w:t>
            </w:r>
            <w:fldSimple w:instr=" SEQ Figure \* ARABIC ">
              <w:r>
                <w:t>1</w:t>
              </w:r>
            </w:fldSimple>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lastRenderedPageBreak/>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06pt;height:365.35pt;mso-width-percent:0;mso-height-percent:0;mso-width-percent:0;mso-height-percent:0" o:ole="">
                  <v:imagedata r:id="rId42" o:title=""/>
                </v:shape>
                <o:OLEObject Type="Embed" ProgID="Visio.Drawing.15" ShapeID="_x0000_i1033" DrawAspect="Content" ObjectID="_1690961854" r:id="rId43"/>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5A121" w14:textId="77777777" w:rsidR="001246A8" w:rsidRDefault="001246A8" w:rsidP="006228BF">
      <w:pPr>
        <w:spacing w:after="0" w:line="240" w:lineRule="auto"/>
      </w:pPr>
      <w:r>
        <w:separator/>
      </w:r>
    </w:p>
  </w:endnote>
  <w:endnote w:type="continuationSeparator" w:id="0">
    <w:p w14:paraId="77F65E4C" w14:textId="77777777" w:rsidR="001246A8" w:rsidRDefault="001246A8"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Microsoft YaHei"/>
    <w:charset w:val="86"/>
    <w:family w:val="modern"/>
    <w:pitch w:val="default"/>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28B19" w14:textId="77777777" w:rsidR="001246A8" w:rsidRDefault="001246A8" w:rsidP="006228BF">
      <w:pPr>
        <w:spacing w:after="0" w:line="240" w:lineRule="auto"/>
      </w:pPr>
      <w:r>
        <w:separator/>
      </w:r>
    </w:p>
  </w:footnote>
  <w:footnote w:type="continuationSeparator" w:id="0">
    <w:p w14:paraId="7E75EBD3" w14:textId="77777777" w:rsidR="001246A8" w:rsidRDefault="001246A8"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7"/>
  </w:num>
  <w:num w:numId="3">
    <w:abstractNumId w:val="64"/>
  </w:num>
  <w:num w:numId="4">
    <w:abstractNumId w:val="60"/>
  </w:num>
  <w:num w:numId="5">
    <w:abstractNumId w:val="48"/>
  </w:num>
  <w:num w:numId="6">
    <w:abstractNumId w:val="36"/>
  </w:num>
  <w:num w:numId="7">
    <w:abstractNumId w:val="40"/>
  </w:num>
  <w:num w:numId="8">
    <w:abstractNumId w:val="66"/>
  </w:num>
  <w:num w:numId="9">
    <w:abstractNumId w:val="41"/>
  </w:num>
  <w:num w:numId="10">
    <w:abstractNumId w:val="62"/>
  </w:num>
  <w:num w:numId="11">
    <w:abstractNumId w:val="31"/>
  </w:num>
  <w:num w:numId="12">
    <w:abstractNumId w:val="21"/>
  </w:num>
  <w:num w:numId="13">
    <w:abstractNumId w:val="28"/>
  </w:num>
  <w:num w:numId="14">
    <w:abstractNumId w:val="46"/>
  </w:num>
  <w:num w:numId="15">
    <w:abstractNumId w:val="25"/>
  </w:num>
  <w:num w:numId="16">
    <w:abstractNumId w:val="44"/>
  </w:num>
  <w:num w:numId="17">
    <w:abstractNumId w:val="12"/>
  </w:num>
  <w:num w:numId="18">
    <w:abstractNumId w:val="26"/>
  </w:num>
  <w:num w:numId="19">
    <w:abstractNumId w:val="53"/>
  </w:num>
  <w:num w:numId="20">
    <w:abstractNumId w:val="51"/>
  </w:num>
  <w:num w:numId="21">
    <w:abstractNumId w:val="47"/>
  </w:num>
  <w:num w:numId="22">
    <w:abstractNumId w:val="33"/>
  </w:num>
  <w:num w:numId="23">
    <w:abstractNumId w:val="39"/>
  </w:num>
  <w:num w:numId="24">
    <w:abstractNumId w:val="30"/>
  </w:num>
  <w:num w:numId="25">
    <w:abstractNumId w:val="63"/>
  </w:num>
  <w:num w:numId="26">
    <w:abstractNumId w:val="11"/>
  </w:num>
  <w:num w:numId="27">
    <w:abstractNumId w:val="5"/>
  </w:num>
  <w:num w:numId="28">
    <w:abstractNumId w:val="10"/>
  </w:num>
  <w:num w:numId="29">
    <w:abstractNumId w:val="2"/>
  </w:num>
  <w:num w:numId="30">
    <w:abstractNumId w:val="56"/>
  </w:num>
  <w:num w:numId="31">
    <w:abstractNumId w:val="4"/>
  </w:num>
  <w:num w:numId="32">
    <w:abstractNumId w:val="17"/>
  </w:num>
  <w:num w:numId="33">
    <w:abstractNumId w:val="49"/>
  </w:num>
  <w:num w:numId="34">
    <w:abstractNumId w:val="18"/>
  </w:num>
  <w:num w:numId="35">
    <w:abstractNumId w:val="1"/>
  </w:num>
  <w:num w:numId="36">
    <w:abstractNumId w:val="0"/>
  </w:num>
  <w:num w:numId="37">
    <w:abstractNumId w:val="54"/>
  </w:num>
  <w:num w:numId="38">
    <w:abstractNumId w:val="7"/>
  </w:num>
  <w:num w:numId="39">
    <w:abstractNumId w:val="59"/>
  </w:num>
  <w:num w:numId="40">
    <w:abstractNumId w:val="8"/>
  </w:num>
  <w:num w:numId="41">
    <w:abstractNumId w:val="6"/>
  </w:num>
  <w:num w:numId="42">
    <w:abstractNumId w:val="34"/>
  </w:num>
  <w:num w:numId="43">
    <w:abstractNumId w:val="23"/>
  </w:num>
  <w:num w:numId="44">
    <w:abstractNumId w:val="58"/>
  </w:num>
  <w:num w:numId="45">
    <w:abstractNumId w:val="32"/>
  </w:num>
  <w:num w:numId="46">
    <w:abstractNumId w:val="52"/>
  </w:num>
  <w:num w:numId="47">
    <w:abstractNumId w:val="22"/>
  </w:num>
  <w:num w:numId="48">
    <w:abstractNumId w:val="57"/>
  </w:num>
  <w:num w:numId="49">
    <w:abstractNumId w:val="29"/>
  </w:num>
  <w:num w:numId="50">
    <w:abstractNumId w:val="50"/>
  </w:num>
  <w:num w:numId="51">
    <w:abstractNumId w:val="15"/>
  </w:num>
  <w:num w:numId="52">
    <w:abstractNumId w:val="43"/>
  </w:num>
  <w:num w:numId="53">
    <w:abstractNumId w:val="55"/>
  </w:num>
  <w:num w:numId="54">
    <w:abstractNumId w:val="13"/>
  </w:num>
  <w:num w:numId="55">
    <w:abstractNumId w:val="14"/>
  </w:num>
  <w:num w:numId="56">
    <w:abstractNumId w:val="65"/>
  </w:num>
  <w:num w:numId="57">
    <w:abstractNumId w:val="19"/>
  </w:num>
  <w:num w:numId="58">
    <w:abstractNumId w:val="35"/>
  </w:num>
  <w:num w:numId="59">
    <w:abstractNumId w:val="24"/>
  </w:num>
  <w:num w:numId="60">
    <w:abstractNumId w:val="45"/>
  </w:num>
  <w:num w:numId="61">
    <w:abstractNumId w:val="20"/>
  </w:num>
  <w:num w:numId="62">
    <w:abstractNumId w:val="42"/>
  </w:num>
  <w:num w:numId="63">
    <w:abstractNumId w:val="16"/>
  </w:num>
  <w:num w:numId="64">
    <w:abstractNumId w:val="37"/>
  </w:num>
  <w:num w:numId="65">
    <w:abstractNumId w:val="61"/>
  </w:num>
  <w:num w:numId="66">
    <w:abstractNumId w:val="3"/>
  </w:num>
  <w:num w:numId="67">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5.png"/><Relationship Id="rId39" Type="http://schemas.openxmlformats.org/officeDocument/2006/relationships/image" Target="media/image24.e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image" Target="media/image21.png"/><Relationship Id="rId42"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package" Target="embeddings/Microsoft_Visio_Drawing1.vsdx"/><Relationship Id="rId38"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Microsoft_Visio_2003-2010_Drawing.vsd"/><Relationship Id="rId29" Type="http://schemas.openxmlformats.org/officeDocument/2006/relationships/package" Target="embeddings/Microsoft_Visio_Drawing.vsdx"/><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Microsoft_Visio_2003-2010_Drawing2.vsd"/><Relationship Id="rId32" Type="http://schemas.openxmlformats.org/officeDocument/2006/relationships/image" Target="media/image20.emf"/><Relationship Id="rId37" Type="http://schemas.openxmlformats.org/officeDocument/2006/relationships/image" Target="media/image23.emf"/><Relationship Id="rId40" Type="http://schemas.openxmlformats.org/officeDocument/2006/relationships/package" Target="embeddings/Microsoft_Visio_Drawing4.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image" Target="media/image17.emf"/><Relationship Id="rId36"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2.emf"/><Relationship Id="rId43"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CAE26-D498-463D-A9EC-61BDE458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108</Pages>
  <Words>36545</Words>
  <Characters>208313</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Hongbo Si/5G PHY Standards /SRA/Staff Engineer/Samsung Electronics</cp:lastModifiedBy>
  <cp:revision>4</cp:revision>
  <cp:lastPrinted>2016-08-13T07:06:00Z</cp:lastPrinted>
  <dcterms:created xsi:type="dcterms:W3CDTF">2021-08-20T12:13:00Z</dcterms:created>
  <dcterms:modified xsi:type="dcterms:W3CDTF">2021-08-20T15:50:00Z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